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52" w:rsidRPr="008165B3" w:rsidRDefault="00257319" w:rsidP="00257319">
      <w:pPr>
        <w:spacing w:after="0" w:line="360" w:lineRule="auto"/>
        <w:rPr>
          <w:rFonts w:ascii="Times New Roman" w:hAnsi="Times New Roman" w:cs="Times New Roman"/>
          <w:b/>
          <w:sz w:val="24"/>
          <w:szCs w:val="24"/>
        </w:rPr>
      </w:pPr>
      <w:r w:rsidRPr="008165B3">
        <w:rPr>
          <w:rFonts w:ascii="Times New Roman" w:hAnsi="Times New Roman" w:cs="Times New Roman"/>
          <w:b/>
          <w:sz w:val="24"/>
          <w:szCs w:val="24"/>
        </w:rPr>
        <w:t>Comentario a La Política del Arte: Lecturas, Reflexiones y Refracciones</w:t>
      </w:r>
    </w:p>
    <w:p w:rsidR="00257319" w:rsidRPr="008165B3" w:rsidRDefault="00257319" w:rsidP="00257319">
      <w:pPr>
        <w:spacing w:after="0" w:line="360" w:lineRule="auto"/>
        <w:rPr>
          <w:rFonts w:ascii="Times New Roman" w:hAnsi="Times New Roman" w:cs="Times New Roman"/>
          <w:sz w:val="24"/>
          <w:szCs w:val="24"/>
        </w:rPr>
      </w:pPr>
      <w:proofErr w:type="spellStart"/>
      <w:r w:rsidRPr="008165B3">
        <w:rPr>
          <w:rFonts w:ascii="Times New Roman" w:hAnsi="Times New Roman" w:cs="Times New Roman"/>
          <w:sz w:val="24"/>
          <w:szCs w:val="24"/>
        </w:rPr>
        <w:t>Eman</w:t>
      </w:r>
      <w:proofErr w:type="spellEnd"/>
      <w:r w:rsidRPr="008165B3">
        <w:rPr>
          <w:rFonts w:ascii="Times New Roman" w:hAnsi="Times New Roman" w:cs="Times New Roman"/>
          <w:sz w:val="24"/>
          <w:szCs w:val="24"/>
        </w:rPr>
        <w:t xml:space="preserve"> </w:t>
      </w:r>
      <w:proofErr w:type="spellStart"/>
      <w:r w:rsidRPr="008165B3">
        <w:rPr>
          <w:rFonts w:ascii="Times New Roman" w:hAnsi="Times New Roman" w:cs="Times New Roman"/>
          <w:sz w:val="24"/>
          <w:szCs w:val="24"/>
        </w:rPr>
        <w:t>Morsi</w:t>
      </w:r>
      <w:proofErr w:type="spellEnd"/>
    </w:p>
    <w:p w:rsidR="00257319" w:rsidRPr="008165B3" w:rsidRDefault="00257319" w:rsidP="00257319">
      <w:pPr>
        <w:spacing w:after="0" w:line="360" w:lineRule="auto"/>
        <w:rPr>
          <w:rFonts w:ascii="Times New Roman" w:hAnsi="Times New Roman" w:cs="Times New Roman"/>
          <w:sz w:val="24"/>
          <w:szCs w:val="24"/>
        </w:rPr>
      </w:pPr>
    </w:p>
    <w:p w:rsidR="008B45C5" w:rsidRPr="008165B3" w:rsidRDefault="00257319" w:rsidP="00257319">
      <w:pPr>
        <w:spacing w:after="0" w:line="360" w:lineRule="auto"/>
        <w:rPr>
          <w:rFonts w:ascii="Times New Roman" w:hAnsi="Times New Roman" w:cs="Times New Roman"/>
          <w:sz w:val="24"/>
          <w:szCs w:val="24"/>
        </w:rPr>
      </w:pPr>
      <w:r w:rsidRPr="008165B3">
        <w:rPr>
          <w:rFonts w:ascii="Times New Roman" w:hAnsi="Times New Roman" w:cs="Times New Roman"/>
          <w:sz w:val="24"/>
          <w:szCs w:val="24"/>
        </w:rPr>
        <w:t xml:space="preserve">“La Política del Arte: Lecturas, </w:t>
      </w:r>
      <w:r w:rsidR="0004207D" w:rsidRPr="008165B3">
        <w:rPr>
          <w:rFonts w:ascii="Times New Roman" w:hAnsi="Times New Roman" w:cs="Times New Roman"/>
          <w:sz w:val="24"/>
          <w:szCs w:val="24"/>
        </w:rPr>
        <w:t>Reflexiones</w:t>
      </w:r>
      <w:r w:rsidRPr="008165B3">
        <w:rPr>
          <w:rFonts w:ascii="Times New Roman" w:hAnsi="Times New Roman" w:cs="Times New Roman"/>
          <w:sz w:val="24"/>
          <w:szCs w:val="24"/>
        </w:rPr>
        <w:t xml:space="preserve"> y Refracciones”, cubre un espectro de asuntos y presenta una variedad de perspectivas sobre cómo pensar comparativamente a América Latina y </w:t>
      </w:r>
      <w:r w:rsidR="0004207D" w:rsidRPr="008165B3">
        <w:rPr>
          <w:rFonts w:ascii="Times New Roman" w:hAnsi="Times New Roman" w:cs="Times New Roman"/>
          <w:sz w:val="24"/>
          <w:szCs w:val="24"/>
        </w:rPr>
        <w:t xml:space="preserve">el </w:t>
      </w:r>
      <w:r w:rsidRPr="008165B3">
        <w:rPr>
          <w:rFonts w:ascii="Times New Roman" w:hAnsi="Times New Roman" w:cs="Times New Roman"/>
          <w:sz w:val="24"/>
          <w:szCs w:val="24"/>
        </w:rPr>
        <w:t>Medio Oriente.</w:t>
      </w:r>
    </w:p>
    <w:p w:rsidR="00257319" w:rsidRPr="008165B3" w:rsidRDefault="00257319" w:rsidP="00257319">
      <w:pPr>
        <w:spacing w:after="0" w:line="360" w:lineRule="auto"/>
        <w:rPr>
          <w:rFonts w:ascii="Times New Roman" w:hAnsi="Times New Roman" w:cs="Times New Roman"/>
          <w:sz w:val="24"/>
          <w:szCs w:val="24"/>
        </w:rPr>
      </w:pPr>
      <w:r w:rsidRPr="008165B3">
        <w:rPr>
          <w:rFonts w:ascii="Times New Roman" w:hAnsi="Times New Roman" w:cs="Times New Roman"/>
          <w:sz w:val="24"/>
          <w:szCs w:val="24"/>
        </w:rPr>
        <w:t xml:space="preserve">El artículo de </w:t>
      </w:r>
      <w:proofErr w:type="spellStart"/>
      <w:r w:rsidRPr="008165B3">
        <w:rPr>
          <w:rFonts w:ascii="Times New Roman" w:hAnsi="Times New Roman" w:cs="Times New Roman"/>
          <w:sz w:val="24"/>
          <w:szCs w:val="24"/>
        </w:rPr>
        <w:t>Sinan</w:t>
      </w:r>
      <w:proofErr w:type="spellEnd"/>
      <w:r w:rsidRPr="008165B3">
        <w:rPr>
          <w:rFonts w:ascii="Times New Roman" w:hAnsi="Times New Roman" w:cs="Times New Roman"/>
          <w:sz w:val="24"/>
          <w:szCs w:val="24"/>
        </w:rPr>
        <w:t xml:space="preserve"> </w:t>
      </w:r>
      <w:proofErr w:type="spellStart"/>
      <w:r w:rsidRPr="008165B3">
        <w:rPr>
          <w:rFonts w:ascii="Times New Roman" w:hAnsi="Times New Roman" w:cs="Times New Roman"/>
          <w:sz w:val="24"/>
          <w:szCs w:val="24"/>
        </w:rPr>
        <w:t>Antoon</w:t>
      </w:r>
      <w:proofErr w:type="spellEnd"/>
      <w:r w:rsidRPr="008165B3">
        <w:rPr>
          <w:rFonts w:ascii="Times New Roman" w:hAnsi="Times New Roman" w:cs="Times New Roman"/>
          <w:sz w:val="24"/>
          <w:szCs w:val="24"/>
        </w:rPr>
        <w:t xml:space="preserve">, “Leyendo a César Vallejo en Árabe: Sobre la Afinidad Poética y la Solidaridad”, ofrece una lectura </w:t>
      </w:r>
      <w:r w:rsidR="0004207D" w:rsidRPr="008165B3">
        <w:rPr>
          <w:rFonts w:ascii="Times New Roman" w:hAnsi="Times New Roman" w:cs="Times New Roman"/>
          <w:sz w:val="24"/>
          <w:szCs w:val="24"/>
        </w:rPr>
        <w:t>detallada</w:t>
      </w:r>
      <w:r w:rsidRPr="008165B3">
        <w:rPr>
          <w:rFonts w:ascii="Times New Roman" w:hAnsi="Times New Roman" w:cs="Times New Roman"/>
          <w:sz w:val="24"/>
          <w:szCs w:val="24"/>
        </w:rPr>
        <w:t xml:space="preserve"> de los poemas escritos por el poeta iraquí </w:t>
      </w:r>
      <w:proofErr w:type="spellStart"/>
      <w:r w:rsidRPr="008165B3">
        <w:rPr>
          <w:rFonts w:ascii="Times New Roman" w:hAnsi="Times New Roman" w:cs="Times New Roman"/>
          <w:sz w:val="24"/>
          <w:szCs w:val="24"/>
        </w:rPr>
        <w:t>Sargon</w:t>
      </w:r>
      <w:proofErr w:type="spellEnd"/>
      <w:r w:rsidRPr="008165B3">
        <w:rPr>
          <w:rFonts w:ascii="Times New Roman" w:hAnsi="Times New Roman" w:cs="Times New Roman"/>
          <w:sz w:val="24"/>
          <w:szCs w:val="24"/>
        </w:rPr>
        <w:t xml:space="preserve"> </w:t>
      </w:r>
      <w:proofErr w:type="spellStart"/>
      <w:r w:rsidRPr="008165B3">
        <w:rPr>
          <w:rFonts w:ascii="Times New Roman" w:hAnsi="Times New Roman" w:cs="Times New Roman"/>
          <w:sz w:val="24"/>
          <w:szCs w:val="24"/>
        </w:rPr>
        <w:t>Boulus</w:t>
      </w:r>
      <w:proofErr w:type="spellEnd"/>
      <w:r w:rsidRPr="008165B3">
        <w:rPr>
          <w:rFonts w:ascii="Times New Roman" w:hAnsi="Times New Roman" w:cs="Times New Roman"/>
          <w:sz w:val="24"/>
          <w:szCs w:val="24"/>
        </w:rPr>
        <w:t>, los cuales hacen referencia al poeta peruano César Vallejo y a su obra. El artículo presta atención no solo a las similitudes entre ambos poetas, sino también a sus diferencias, lo cual resulta en una rica y compleja lectura de las intersecciones entre lo poético y lo político en dos momentos distintos del siglo veinte.</w:t>
      </w:r>
    </w:p>
    <w:p w:rsidR="008B45C5" w:rsidRPr="008165B3" w:rsidRDefault="008B45C5" w:rsidP="00257319">
      <w:pPr>
        <w:spacing w:after="0" w:line="360" w:lineRule="auto"/>
        <w:rPr>
          <w:rFonts w:ascii="Times New Roman" w:hAnsi="Times New Roman" w:cs="Times New Roman"/>
          <w:sz w:val="24"/>
          <w:szCs w:val="24"/>
        </w:rPr>
      </w:pPr>
      <w:r w:rsidRPr="008165B3">
        <w:rPr>
          <w:rFonts w:ascii="Times New Roman" w:hAnsi="Times New Roman" w:cs="Times New Roman"/>
          <w:sz w:val="24"/>
          <w:szCs w:val="24"/>
        </w:rPr>
        <w:tab/>
        <w:t xml:space="preserve">Mientras que la discusión  de </w:t>
      </w:r>
      <w:proofErr w:type="spellStart"/>
      <w:r w:rsidRPr="008165B3">
        <w:rPr>
          <w:rFonts w:ascii="Times New Roman" w:hAnsi="Times New Roman" w:cs="Times New Roman"/>
          <w:sz w:val="24"/>
          <w:szCs w:val="24"/>
        </w:rPr>
        <w:t>Antoon</w:t>
      </w:r>
      <w:proofErr w:type="spellEnd"/>
      <w:r w:rsidRPr="008165B3">
        <w:rPr>
          <w:rFonts w:ascii="Times New Roman" w:hAnsi="Times New Roman" w:cs="Times New Roman"/>
          <w:sz w:val="24"/>
          <w:szCs w:val="24"/>
        </w:rPr>
        <w:t xml:space="preserve"> de las influencias latinoamericanas circunscribe estas influencias, el artículo de Lena </w:t>
      </w:r>
      <w:proofErr w:type="spellStart"/>
      <w:r w:rsidRPr="008165B3">
        <w:rPr>
          <w:rFonts w:ascii="Times New Roman" w:hAnsi="Times New Roman" w:cs="Times New Roman"/>
          <w:sz w:val="24"/>
          <w:szCs w:val="24"/>
        </w:rPr>
        <w:t>Meari</w:t>
      </w:r>
      <w:proofErr w:type="spellEnd"/>
      <w:r w:rsidRPr="008165B3">
        <w:rPr>
          <w:rFonts w:ascii="Times New Roman" w:hAnsi="Times New Roman" w:cs="Times New Roman"/>
          <w:sz w:val="24"/>
          <w:szCs w:val="24"/>
        </w:rPr>
        <w:t xml:space="preserve"> “</w:t>
      </w:r>
      <w:hyperlink r:id="rId5" w:history="1">
        <w:r w:rsidRPr="008165B3">
          <w:rPr>
            <w:rStyle w:val="Hipervnculo"/>
            <w:rFonts w:ascii="Times New Roman" w:hAnsi="Times New Roman" w:cs="Times New Roman"/>
            <w:sz w:val="24"/>
            <w:szCs w:val="24"/>
          </w:rPr>
          <w:t>Leyendo al Che en la Palestina Colonizada</w:t>
        </w:r>
      </w:hyperlink>
      <w:r w:rsidRPr="008165B3">
        <w:rPr>
          <w:rFonts w:ascii="Times New Roman" w:hAnsi="Times New Roman" w:cs="Times New Roman"/>
          <w:sz w:val="24"/>
          <w:szCs w:val="24"/>
        </w:rPr>
        <w:t xml:space="preserve">” y el de </w:t>
      </w:r>
      <w:proofErr w:type="spellStart"/>
      <w:r w:rsidRPr="008165B3">
        <w:rPr>
          <w:rFonts w:ascii="Times New Roman" w:hAnsi="Times New Roman" w:cs="Times New Roman"/>
          <w:sz w:val="24"/>
          <w:szCs w:val="24"/>
        </w:rPr>
        <w:t>Ismail</w:t>
      </w:r>
      <w:proofErr w:type="spellEnd"/>
      <w:r w:rsidRPr="008165B3">
        <w:rPr>
          <w:rFonts w:ascii="Times New Roman" w:hAnsi="Times New Roman" w:cs="Times New Roman"/>
          <w:sz w:val="24"/>
          <w:szCs w:val="24"/>
        </w:rPr>
        <w:t xml:space="preserve"> </w:t>
      </w:r>
      <w:proofErr w:type="spellStart"/>
      <w:r w:rsidRPr="008165B3">
        <w:rPr>
          <w:rFonts w:ascii="Times New Roman" w:hAnsi="Times New Roman" w:cs="Times New Roman"/>
          <w:sz w:val="24"/>
          <w:szCs w:val="24"/>
        </w:rPr>
        <w:t>Hamalaw</w:t>
      </w:r>
      <w:proofErr w:type="spellEnd"/>
      <w:r w:rsidRPr="008165B3">
        <w:rPr>
          <w:rFonts w:ascii="Times New Roman" w:hAnsi="Times New Roman" w:cs="Times New Roman"/>
          <w:sz w:val="24"/>
          <w:szCs w:val="24"/>
        </w:rPr>
        <w:t xml:space="preserve"> y </w:t>
      </w:r>
      <w:proofErr w:type="spellStart"/>
      <w:r w:rsidRPr="008165B3">
        <w:rPr>
          <w:rFonts w:ascii="Times New Roman" w:hAnsi="Times New Roman" w:cs="Times New Roman"/>
          <w:sz w:val="24"/>
          <w:szCs w:val="24"/>
        </w:rPr>
        <w:t>Haozan</w:t>
      </w:r>
      <w:proofErr w:type="spellEnd"/>
      <w:r w:rsidRPr="008165B3">
        <w:rPr>
          <w:rFonts w:ascii="Times New Roman" w:hAnsi="Times New Roman" w:cs="Times New Roman"/>
          <w:sz w:val="24"/>
          <w:szCs w:val="24"/>
        </w:rPr>
        <w:t xml:space="preserve"> </w:t>
      </w:r>
      <w:proofErr w:type="spellStart"/>
      <w:r w:rsidRPr="008165B3">
        <w:rPr>
          <w:rFonts w:ascii="Times New Roman" w:hAnsi="Times New Roman" w:cs="Times New Roman"/>
          <w:sz w:val="24"/>
          <w:szCs w:val="24"/>
        </w:rPr>
        <w:t>Mahmoud</w:t>
      </w:r>
      <w:proofErr w:type="spellEnd"/>
      <w:r w:rsidRPr="008165B3">
        <w:rPr>
          <w:rFonts w:ascii="Times New Roman" w:hAnsi="Times New Roman" w:cs="Times New Roman"/>
          <w:sz w:val="24"/>
          <w:szCs w:val="24"/>
        </w:rPr>
        <w:t>, “</w:t>
      </w:r>
      <w:hyperlink r:id="rId6" w:history="1">
        <w:r w:rsidRPr="008165B3">
          <w:rPr>
            <w:rStyle w:val="Hipervnculo"/>
            <w:rFonts w:ascii="Times New Roman" w:hAnsi="Times New Roman" w:cs="Times New Roman"/>
            <w:sz w:val="24"/>
            <w:szCs w:val="24"/>
          </w:rPr>
          <w:t>El Boom Latinoamericano en el Kurdistán Iraní</w:t>
        </w:r>
      </w:hyperlink>
      <w:r w:rsidRPr="008165B3">
        <w:rPr>
          <w:rFonts w:ascii="Times New Roman" w:hAnsi="Times New Roman" w:cs="Times New Roman"/>
          <w:sz w:val="24"/>
          <w:szCs w:val="24"/>
        </w:rPr>
        <w:t xml:space="preserve">”, las amplían. Ambos artículos </w:t>
      </w:r>
      <w:r w:rsidR="008165B3" w:rsidRPr="008165B3">
        <w:rPr>
          <w:rFonts w:ascii="Times New Roman" w:hAnsi="Times New Roman" w:cs="Times New Roman"/>
          <w:sz w:val="24"/>
          <w:szCs w:val="24"/>
        </w:rPr>
        <w:t>tratan de</w:t>
      </w:r>
      <w:r w:rsidRPr="008165B3">
        <w:rPr>
          <w:rFonts w:ascii="Times New Roman" w:hAnsi="Times New Roman" w:cs="Times New Roman"/>
          <w:sz w:val="24"/>
          <w:szCs w:val="24"/>
        </w:rPr>
        <w:t xml:space="preserve"> las influencias políticas que la izquierda latinoamericana tuvo sobre la izquierda del Medio Oriente. Estas son influencias que pueden ser rastreadas al auge de los movimientos de solidaridad internacionalista de mediados del siglo veinte y que continúan siendo revisadas en tiempos de turbulencias nacionales. Más allá del título, el artículo de </w:t>
      </w:r>
      <w:proofErr w:type="spellStart"/>
      <w:r w:rsidRPr="008165B3">
        <w:rPr>
          <w:rFonts w:ascii="Times New Roman" w:hAnsi="Times New Roman" w:cs="Times New Roman"/>
          <w:sz w:val="24"/>
          <w:szCs w:val="24"/>
        </w:rPr>
        <w:t>Meari</w:t>
      </w:r>
      <w:proofErr w:type="spellEnd"/>
      <w:r w:rsidRPr="008165B3">
        <w:rPr>
          <w:rFonts w:ascii="Times New Roman" w:hAnsi="Times New Roman" w:cs="Times New Roman"/>
          <w:sz w:val="24"/>
          <w:szCs w:val="24"/>
        </w:rPr>
        <w:t xml:space="preserve"> no solo se ocupa de la influencia del Che Guevara, sino también </w:t>
      </w:r>
      <w:r w:rsidR="000636AC" w:rsidRPr="008165B3">
        <w:rPr>
          <w:rFonts w:ascii="Times New Roman" w:hAnsi="Times New Roman" w:cs="Times New Roman"/>
          <w:sz w:val="24"/>
          <w:szCs w:val="24"/>
        </w:rPr>
        <w:t xml:space="preserve">habla de las más amplias influencias de la revolución cubana, sandinista y de los Tupamaros, así como de militantes trasnacionales, tales como </w:t>
      </w:r>
      <w:proofErr w:type="spellStart"/>
      <w:r w:rsidR="000636AC" w:rsidRPr="008165B3">
        <w:rPr>
          <w:rFonts w:ascii="Times New Roman" w:hAnsi="Times New Roman" w:cs="Times New Roman"/>
          <w:sz w:val="24"/>
          <w:szCs w:val="24"/>
        </w:rPr>
        <w:t>Antoine</w:t>
      </w:r>
      <w:proofErr w:type="spellEnd"/>
      <w:r w:rsidR="000636AC" w:rsidRPr="008165B3">
        <w:rPr>
          <w:rFonts w:ascii="Times New Roman" w:hAnsi="Times New Roman" w:cs="Times New Roman"/>
          <w:sz w:val="24"/>
          <w:szCs w:val="24"/>
        </w:rPr>
        <w:t xml:space="preserve"> </w:t>
      </w:r>
      <w:proofErr w:type="spellStart"/>
      <w:r w:rsidR="000636AC" w:rsidRPr="008165B3">
        <w:rPr>
          <w:rFonts w:ascii="Times New Roman" w:hAnsi="Times New Roman" w:cs="Times New Roman"/>
          <w:sz w:val="24"/>
          <w:szCs w:val="24"/>
        </w:rPr>
        <w:t>Daoud</w:t>
      </w:r>
      <w:proofErr w:type="spellEnd"/>
      <w:r w:rsidR="000636AC" w:rsidRPr="008165B3">
        <w:rPr>
          <w:rFonts w:ascii="Times New Roman" w:hAnsi="Times New Roman" w:cs="Times New Roman"/>
          <w:sz w:val="24"/>
          <w:szCs w:val="24"/>
        </w:rPr>
        <w:t xml:space="preserve"> y Patrick Argüello, quienes estuvieron activos tanto en </w:t>
      </w:r>
      <w:r w:rsidR="008165B3" w:rsidRPr="008165B3">
        <w:rPr>
          <w:rFonts w:ascii="Times New Roman" w:hAnsi="Times New Roman" w:cs="Times New Roman"/>
          <w:sz w:val="24"/>
          <w:szCs w:val="24"/>
        </w:rPr>
        <w:t>América Latina</w:t>
      </w:r>
      <w:r w:rsidR="000636AC" w:rsidRPr="008165B3">
        <w:rPr>
          <w:rFonts w:ascii="Times New Roman" w:hAnsi="Times New Roman" w:cs="Times New Roman"/>
          <w:sz w:val="24"/>
          <w:szCs w:val="24"/>
        </w:rPr>
        <w:t xml:space="preserve"> como en el Medio Oriente. De manera similar, </w:t>
      </w:r>
      <w:proofErr w:type="spellStart"/>
      <w:r w:rsidR="000636AC" w:rsidRPr="008165B3">
        <w:rPr>
          <w:rFonts w:ascii="Times New Roman" w:hAnsi="Times New Roman" w:cs="Times New Roman"/>
          <w:sz w:val="24"/>
          <w:szCs w:val="24"/>
        </w:rPr>
        <w:t>Hamalaw</w:t>
      </w:r>
      <w:proofErr w:type="spellEnd"/>
      <w:r w:rsidR="000636AC" w:rsidRPr="008165B3">
        <w:rPr>
          <w:rFonts w:ascii="Times New Roman" w:hAnsi="Times New Roman" w:cs="Times New Roman"/>
          <w:sz w:val="24"/>
          <w:szCs w:val="24"/>
        </w:rPr>
        <w:t xml:space="preserve"> y </w:t>
      </w:r>
      <w:proofErr w:type="spellStart"/>
      <w:r w:rsidR="000636AC" w:rsidRPr="008165B3">
        <w:rPr>
          <w:rFonts w:ascii="Times New Roman" w:hAnsi="Times New Roman" w:cs="Times New Roman"/>
          <w:sz w:val="24"/>
          <w:szCs w:val="24"/>
        </w:rPr>
        <w:t>Mahmoud</w:t>
      </w:r>
      <w:proofErr w:type="spellEnd"/>
      <w:r w:rsidR="000636AC" w:rsidRPr="008165B3">
        <w:rPr>
          <w:rFonts w:ascii="Times New Roman" w:hAnsi="Times New Roman" w:cs="Times New Roman"/>
          <w:sz w:val="24"/>
          <w:szCs w:val="24"/>
        </w:rPr>
        <w:t xml:space="preserve"> rastrean la influencia de la literatura marxista latinoamericana y de las tácticas guerrilleras (del Che Guevara a los sandinistas) en una generación de luchadores por la libertad kurdos.</w:t>
      </w:r>
    </w:p>
    <w:p w:rsidR="00B2449C" w:rsidRPr="008165B3" w:rsidRDefault="00FC7853" w:rsidP="00257319">
      <w:pPr>
        <w:spacing w:after="0" w:line="360" w:lineRule="auto"/>
        <w:rPr>
          <w:rFonts w:ascii="Times New Roman" w:hAnsi="Times New Roman" w:cs="Times New Roman"/>
          <w:color w:val="000000" w:themeColor="text1"/>
          <w:sz w:val="24"/>
          <w:szCs w:val="24"/>
        </w:rPr>
      </w:pPr>
      <w:r w:rsidRPr="008165B3">
        <w:rPr>
          <w:rFonts w:ascii="Times New Roman" w:hAnsi="Times New Roman" w:cs="Times New Roman"/>
          <w:sz w:val="24"/>
          <w:szCs w:val="24"/>
        </w:rPr>
        <w:tab/>
        <w:t>La variedad de textos e ideas que ci</w:t>
      </w:r>
      <w:r w:rsidR="008165B3">
        <w:rPr>
          <w:rFonts w:ascii="Times New Roman" w:hAnsi="Times New Roman" w:cs="Times New Roman"/>
          <w:sz w:val="24"/>
          <w:szCs w:val="24"/>
        </w:rPr>
        <w:t>rcularon en los contextos kurdo y palestino</w:t>
      </w:r>
      <w:r w:rsidRPr="008165B3">
        <w:rPr>
          <w:rFonts w:ascii="Times New Roman" w:hAnsi="Times New Roman" w:cs="Times New Roman"/>
          <w:sz w:val="24"/>
          <w:szCs w:val="24"/>
        </w:rPr>
        <w:t xml:space="preserve"> es asombrosa. Sin embargo, mientras leía, constantemente me preguntaba si en tales espacio de solidaridad transnacional o internacional se podía realmente sostener que existían conexiones únicas entre dos regiones (en este caso entre América Latina y el Medio Oriente) y entre cualquiera dos otras. De hecho, por ejemplo en el artículo de </w:t>
      </w:r>
      <w:proofErr w:type="spellStart"/>
      <w:r w:rsidRPr="008165B3">
        <w:rPr>
          <w:rFonts w:ascii="Times New Roman" w:hAnsi="Times New Roman" w:cs="Times New Roman"/>
          <w:sz w:val="24"/>
          <w:szCs w:val="24"/>
        </w:rPr>
        <w:t>Meari</w:t>
      </w:r>
      <w:proofErr w:type="spellEnd"/>
      <w:r w:rsidRPr="008165B3">
        <w:rPr>
          <w:rFonts w:ascii="Times New Roman" w:hAnsi="Times New Roman" w:cs="Times New Roman"/>
          <w:sz w:val="24"/>
          <w:szCs w:val="24"/>
        </w:rPr>
        <w:t>, uno de los entrevistados puntualizaba que “</w:t>
      </w:r>
      <w:r w:rsidRPr="008165B3">
        <w:rPr>
          <w:rFonts w:ascii="Times New Roman" w:hAnsi="Times New Roman" w:cs="Times New Roman"/>
          <w:color w:val="000000" w:themeColor="text1"/>
          <w:sz w:val="24"/>
          <w:szCs w:val="24"/>
        </w:rPr>
        <w:t xml:space="preserve">Estábamos fascinados con el camino guevarista y eso afectó nuestro pensamiento. Constituía nuestra inspiración y sin </w:t>
      </w:r>
      <w:r w:rsidRPr="008165B3">
        <w:rPr>
          <w:rFonts w:ascii="Times New Roman" w:hAnsi="Times New Roman" w:cs="Times New Roman"/>
          <w:color w:val="000000" w:themeColor="text1"/>
          <w:sz w:val="24"/>
          <w:szCs w:val="24"/>
        </w:rPr>
        <w:lastRenderedPageBreak/>
        <w:t xml:space="preserve">embargo, estábamos conscientes de las limitaciones de su aplicabilidad al contexto palestino. La topografía palestina es limitada, no tenemos montañas”. Aunque aparentemente en el contexto kurdo estas estrategias eran más directamente aplicables ¿hay realmente una conexión única entre América Latina y el Medio Oriente que la distingue de otros contextos “exitosos” tales como Vietnam o Suráfrica? En el mundo de la solidaridad transnacional e internacional ¿es útil o aceptable buscar conexiones únicas </w:t>
      </w:r>
      <w:r w:rsidR="00906D55" w:rsidRPr="008165B3">
        <w:rPr>
          <w:rFonts w:ascii="Times New Roman" w:hAnsi="Times New Roman" w:cs="Times New Roman"/>
          <w:color w:val="000000" w:themeColor="text1"/>
          <w:sz w:val="24"/>
          <w:szCs w:val="24"/>
        </w:rPr>
        <w:t>nacionales o regionales?</w:t>
      </w:r>
    </w:p>
    <w:p w:rsidR="000F34BA" w:rsidRPr="008165B3" w:rsidRDefault="00B2449C" w:rsidP="00257319">
      <w:pPr>
        <w:spacing w:after="0" w:line="360" w:lineRule="auto"/>
        <w:rPr>
          <w:rFonts w:ascii="Times New Roman" w:hAnsi="Times New Roman" w:cs="Times New Roman"/>
          <w:color w:val="000000" w:themeColor="text1"/>
          <w:sz w:val="24"/>
          <w:szCs w:val="24"/>
        </w:rPr>
      </w:pPr>
      <w:r w:rsidRPr="008165B3">
        <w:rPr>
          <w:rFonts w:ascii="Times New Roman" w:hAnsi="Times New Roman" w:cs="Times New Roman"/>
          <w:color w:val="000000" w:themeColor="text1"/>
          <w:sz w:val="24"/>
          <w:szCs w:val="24"/>
        </w:rPr>
        <w:tab/>
        <w:t xml:space="preserve">Además de revisar las influencias latinoamericanas en su artículo, </w:t>
      </w:r>
      <w:proofErr w:type="spellStart"/>
      <w:r w:rsidRPr="008165B3">
        <w:rPr>
          <w:rFonts w:ascii="Times New Roman" w:hAnsi="Times New Roman" w:cs="Times New Roman"/>
          <w:color w:val="000000" w:themeColor="text1"/>
          <w:sz w:val="24"/>
          <w:szCs w:val="24"/>
        </w:rPr>
        <w:t>Hamalaw</w:t>
      </w:r>
      <w:proofErr w:type="spellEnd"/>
      <w:r w:rsidRPr="008165B3">
        <w:rPr>
          <w:rFonts w:ascii="Times New Roman" w:hAnsi="Times New Roman" w:cs="Times New Roman"/>
          <w:color w:val="000000" w:themeColor="text1"/>
          <w:sz w:val="24"/>
          <w:szCs w:val="24"/>
        </w:rPr>
        <w:t xml:space="preserve"> y </w:t>
      </w:r>
      <w:proofErr w:type="spellStart"/>
      <w:r w:rsidRPr="008165B3">
        <w:rPr>
          <w:rFonts w:ascii="Times New Roman" w:hAnsi="Times New Roman" w:cs="Times New Roman"/>
          <w:color w:val="000000" w:themeColor="text1"/>
          <w:sz w:val="24"/>
          <w:szCs w:val="24"/>
        </w:rPr>
        <w:t>Mahmoud</w:t>
      </w:r>
      <w:proofErr w:type="spellEnd"/>
      <w:r w:rsidRPr="008165B3">
        <w:rPr>
          <w:rFonts w:ascii="Times New Roman" w:hAnsi="Times New Roman" w:cs="Times New Roman"/>
          <w:color w:val="000000" w:themeColor="text1"/>
          <w:sz w:val="24"/>
          <w:szCs w:val="24"/>
        </w:rPr>
        <w:t xml:space="preserve"> se aventuran en lo literario para discutir la atracción que el realismo mágico ejerce sobre los escritores y artistas kurdos. </w:t>
      </w:r>
      <w:r w:rsidR="004C50F0" w:rsidRPr="008165B3">
        <w:rPr>
          <w:rFonts w:ascii="Times New Roman" w:hAnsi="Times New Roman" w:cs="Times New Roman"/>
          <w:color w:val="000000" w:themeColor="text1"/>
          <w:sz w:val="24"/>
          <w:szCs w:val="24"/>
        </w:rPr>
        <w:t>La atracción de un estilo que trasciende los límites del realismo es comprensible. Sin embargo, me ha parecido el entusiasmo y el uso acrítico del término un tanto inocentes. Hay muchos ri</w:t>
      </w:r>
      <w:r w:rsidR="00525CCF" w:rsidRPr="008165B3">
        <w:rPr>
          <w:rFonts w:ascii="Times New Roman" w:hAnsi="Times New Roman" w:cs="Times New Roman"/>
          <w:color w:val="000000" w:themeColor="text1"/>
          <w:sz w:val="24"/>
          <w:szCs w:val="24"/>
        </w:rPr>
        <w:t xml:space="preserve">esgos en la </w:t>
      </w:r>
      <w:proofErr w:type="spellStart"/>
      <w:r w:rsidR="00525CCF" w:rsidRPr="008165B3">
        <w:rPr>
          <w:rFonts w:ascii="Times New Roman" w:hAnsi="Times New Roman" w:cs="Times New Roman"/>
          <w:color w:val="000000" w:themeColor="text1"/>
          <w:sz w:val="24"/>
          <w:szCs w:val="24"/>
        </w:rPr>
        <w:t>reimaginación</w:t>
      </w:r>
      <w:proofErr w:type="spellEnd"/>
      <w:r w:rsidR="00525CCF" w:rsidRPr="008165B3">
        <w:rPr>
          <w:rFonts w:ascii="Times New Roman" w:hAnsi="Times New Roman" w:cs="Times New Roman"/>
          <w:color w:val="000000" w:themeColor="text1"/>
          <w:sz w:val="24"/>
          <w:szCs w:val="24"/>
        </w:rPr>
        <w:t xml:space="preserve"> de las etiquetas de la literatura mundial, tales como el realismo mágico, como</w:t>
      </w:r>
      <w:r w:rsidR="00E60B73">
        <w:rPr>
          <w:rFonts w:ascii="Times New Roman" w:hAnsi="Times New Roman" w:cs="Times New Roman"/>
          <w:color w:val="000000" w:themeColor="text1"/>
          <w:sz w:val="24"/>
          <w:szCs w:val="24"/>
        </w:rPr>
        <w:t xml:space="preserve"> algo</w:t>
      </w:r>
      <w:r w:rsidR="00525CCF" w:rsidRPr="008165B3">
        <w:rPr>
          <w:rFonts w:ascii="Times New Roman" w:hAnsi="Times New Roman" w:cs="Times New Roman"/>
          <w:color w:val="000000" w:themeColor="text1"/>
          <w:sz w:val="24"/>
          <w:szCs w:val="24"/>
        </w:rPr>
        <w:t xml:space="preserve"> puramente Sur-Sur, sin triangulación alguna con el norte, especialmente cuando nos damos cuenta de que las razones para el surgimiento de tales términos están inextricablemente </w:t>
      </w:r>
      <w:proofErr w:type="gramStart"/>
      <w:r w:rsidR="00525CCF" w:rsidRPr="008165B3">
        <w:rPr>
          <w:rFonts w:ascii="Times New Roman" w:hAnsi="Times New Roman" w:cs="Times New Roman"/>
          <w:color w:val="000000" w:themeColor="text1"/>
          <w:sz w:val="24"/>
          <w:szCs w:val="24"/>
        </w:rPr>
        <w:t>ligados</w:t>
      </w:r>
      <w:proofErr w:type="gramEnd"/>
      <w:r w:rsidR="00525CCF" w:rsidRPr="008165B3">
        <w:rPr>
          <w:rFonts w:ascii="Times New Roman" w:hAnsi="Times New Roman" w:cs="Times New Roman"/>
          <w:color w:val="000000" w:themeColor="text1"/>
          <w:sz w:val="24"/>
          <w:szCs w:val="24"/>
        </w:rPr>
        <w:t xml:space="preserve"> al poder y</w:t>
      </w:r>
      <w:r w:rsidR="00E60B73">
        <w:rPr>
          <w:rFonts w:ascii="Times New Roman" w:hAnsi="Times New Roman" w:cs="Times New Roman"/>
          <w:color w:val="000000" w:themeColor="text1"/>
          <w:sz w:val="24"/>
          <w:szCs w:val="24"/>
        </w:rPr>
        <w:t xml:space="preserve"> a</w:t>
      </w:r>
      <w:r w:rsidR="00525CCF" w:rsidRPr="008165B3">
        <w:rPr>
          <w:rFonts w:ascii="Times New Roman" w:hAnsi="Times New Roman" w:cs="Times New Roman"/>
          <w:color w:val="000000" w:themeColor="text1"/>
          <w:sz w:val="24"/>
          <w:szCs w:val="24"/>
        </w:rPr>
        <w:t xml:space="preserve"> la dinámica del mercado global. Ignorar </w:t>
      </w:r>
      <w:r w:rsidR="000F34BA" w:rsidRPr="008165B3">
        <w:rPr>
          <w:rFonts w:ascii="Times New Roman" w:hAnsi="Times New Roman" w:cs="Times New Roman"/>
          <w:color w:val="000000" w:themeColor="text1"/>
          <w:sz w:val="24"/>
          <w:szCs w:val="24"/>
        </w:rPr>
        <w:t>estas relaciones de poder es no</w:t>
      </w:r>
      <w:r w:rsidR="00525CCF" w:rsidRPr="008165B3">
        <w:rPr>
          <w:rFonts w:ascii="Times New Roman" w:hAnsi="Times New Roman" w:cs="Times New Roman"/>
          <w:color w:val="000000" w:themeColor="text1"/>
          <w:sz w:val="24"/>
          <w:szCs w:val="24"/>
        </w:rPr>
        <w:t xml:space="preserve"> cuestionar el sistema mundial que hace que las conexiones Sur-Sur sean difíciles, si no imposibles.</w:t>
      </w:r>
    </w:p>
    <w:p w:rsidR="008C03DF" w:rsidRPr="008165B3" w:rsidRDefault="000F34BA" w:rsidP="008C03DF">
      <w:pPr>
        <w:pStyle w:val="Ttulo"/>
        <w:spacing w:line="360" w:lineRule="auto"/>
        <w:rPr>
          <w:rFonts w:ascii="Times New Roman" w:eastAsiaTheme="minorHAnsi" w:hAnsi="Times New Roman" w:cs="Times New Roman"/>
          <w:color w:val="000000" w:themeColor="text1"/>
          <w:sz w:val="24"/>
          <w:szCs w:val="24"/>
          <w:lang w:val="es-ES" w:eastAsia="en-US"/>
        </w:rPr>
      </w:pPr>
      <w:r w:rsidRPr="008165B3">
        <w:rPr>
          <w:rFonts w:ascii="Times New Roman" w:eastAsiaTheme="minorHAnsi" w:hAnsi="Times New Roman" w:cs="Times New Roman"/>
          <w:color w:val="000000" w:themeColor="text1"/>
          <w:sz w:val="24"/>
          <w:szCs w:val="24"/>
          <w:lang w:val="es-ES" w:eastAsia="en-US"/>
        </w:rPr>
        <w:lastRenderedPageBreak/>
        <w:tab/>
      </w:r>
      <w:proofErr w:type="spellStart"/>
      <w:r w:rsidRPr="008165B3">
        <w:rPr>
          <w:rFonts w:ascii="Times New Roman" w:eastAsiaTheme="minorHAnsi" w:hAnsi="Times New Roman" w:cs="Times New Roman"/>
          <w:color w:val="000000" w:themeColor="text1"/>
          <w:sz w:val="24"/>
          <w:szCs w:val="24"/>
          <w:lang w:val="es-ES" w:eastAsia="en-US"/>
        </w:rPr>
        <w:t>Rania</w:t>
      </w:r>
      <w:proofErr w:type="spellEnd"/>
      <w:r w:rsidRPr="008165B3">
        <w:rPr>
          <w:rFonts w:ascii="Times New Roman" w:eastAsiaTheme="minorHAnsi" w:hAnsi="Times New Roman" w:cs="Times New Roman"/>
          <w:color w:val="000000" w:themeColor="text1"/>
          <w:sz w:val="24"/>
          <w:szCs w:val="24"/>
          <w:lang w:val="es-ES" w:eastAsia="en-US"/>
        </w:rPr>
        <w:t xml:space="preserve"> </w:t>
      </w:r>
      <w:proofErr w:type="spellStart"/>
      <w:r w:rsidRPr="008165B3">
        <w:rPr>
          <w:rFonts w:ascii="Times New Roman" w:eastAsiaTheme="minorHAnsi" w:hAnsi="Times New Roman" w:cs="Times New Roman"/>
          <w:color w:val="000000" w:themeColor="text1"/>
          <w:sz w:val="24"/>
          <w:szCs w:val="24"/>
          <w:lang w:val="es-ES" w:eastAsia="en-US"/>
        </w:rPr>
        <w:t>Jawad</w:t>
      </w:r>
      <w:proofErr w:type="spellEnd"/>
      <w:r w:rsidRPr="008165B3">
        <w:rPr>
          <w:rFonts w:ascii="Times New Roman" w:eastAsiaTheme="minorHAnsi" w:hAnsi="Times New Roman" w:cs="Times New Roman"/>
          <w:color w:val="000000" w:themeColor="text1"/>
          <w:sz w:val="24"/>
          <w:szCs w:val="24"/>
          <w:lang w:val="es-ES" w:eastAsia="en-US"/>
        </w:rPr>
        <w:t xml:space="preserve"> resalta con sensibilidad algunos de estos asuntos en su artículo</w:t>
      </w:r>
      <w:bookmarkStart w:id="0" w:name="_38f43itu38nk" w:colFirst="0" w:colLast="0"/>
      <w:bookmarkEnd w:id="0"/>
      <w:r w:rsidRPr="008165B3">
        <w:rPr>
          <w:rFonts w:ascii="Times New Roman" w:eastAsiaTheme="minorHAnsi" w:hAnsi="Times New Roman" w:cs="Times New Roman"/>
          <w:color w:val="000000" w:themeColor="text1"/>
          <w:sz w:val="24"/>
          <w:szCs w:val="24"/>
          <w:lang w:val="es-ES" w:eastAsia="en-US"/>
        </w:rPr>
        <w:t xml:space="preserve"> “Trayectorias de Viaje: La práctica de Teatro Liberador de Augusto </w:t>
      </w:r>
      <w:proofErr w:type="spellStart"/>
      <w:r w:rsidRPr="008165B3">
        <w:rPr>
          <w:rFonts w:ascii="Times New Roman" w:eastAsiaTheme="minorHAnsi" w:hAnsi="Times New Roman" w:cs="Times New Roman"/>
          <w:color w:val="000000" w:themeColor="text1"/>
          <w:sz w:val="24"/>
          <w:szCs w:val="24"/>
          <w:lang w:val="es-ES" w:eastAsia="en-US"/>
        </w:rPr>
        <w:t>Boal</w:t>
      </w:r>
      <w:proofErr w:type="spellEnd"/>
      <w:r w:rsidRPr="008165B3">
        <w:rPr>
          <w:rFonts w:ascii="Times New Roman" w:eastAsiaTheme="minorHAnsi" w:hAnsi="Times New Roman" w:cs="Times New Roman"/>
          <w:color w:val="000000" w:themeColor="text1"/>
          <w:sz w:val="24"/>
          <w:szCs w:val="24"/>
          <w:lang w:val="es-ES" w:eastAsia="en-US"/>
        </w:rPr>
        <w:t xml:space="preserve"> en Palestina”.  Allí relata las tensas </w:t>
      </w:r>
      <w:r w:rsidR="00E60B73">
        <w:rPr>
          <w:rFonts w:ascii="Times New Roman" w:eastAsiaTheme="minorHAnsi" w:hAnsi="Times New Roman" w:cs="Times New Roman"/>
          <w:color w:val="000000" w:themeColor="text1"/>
          <w:sz w:val="24"/>
          <w:szCs w:val="24"/>
          <w:lang w:val="es-ES" w:eastAsia="en-US"/>
        </w:rPr>
        <w:t>vías</w:t>
      </w:r>
      <w:r w:rsidRPr="008165B3">
        <w:rPr>
          <w:rFonts w:ascii="Times New Roman" w:eastAsiaTheme="minorHAnsi" w:hAnsi="Times New Roman" w:cs="Times New Roman"/>
          <w:color w:val="000000" w:themeColor="text1"/>
          <w:sz w:val="24"/>
          <w:szCs w:val="24"/>
          <w:lang w:val="es-ES" w:eastAsia="en-US"/>
        </w:rPr>
        <w:t xml:space="preserve"> a través de las cuales el “Teatro de los Oprimidos” se introdujo en la escena teatral palestina y examina los problemas y retos que se dan cuando un concepto extranjero es adoptado sin prestar atención a cómo evolucionó en su contexto original. Como </w:t>
      </w:r>
      <w:proofErr w:type="spellStart"/>
      <w:r w:rsidRPr="008165B3">
        <w:rPr>
          <w:rFonts w:ascii="Times New Roman" w:eastAsiaTheme="minorHAnsi" w:hAnsi="Times New Roman" w:cs="Times New Roman"/>
          <w:color w:val="000000" w:themeColor="text1"/>
          <w:sz w:val="24"/>
          <w:szCs w:val="24"/>
          <w:lang w:val="es-ES" w:eastAsia="en-US"/>
        </w:rPr>
        <w:t>Hamalaw</w:t>
      </w:r>
      <w:proofErr w:type="spellEnd"/>
      <w:r w:rsidRPr="008165B3">
        <w:rPr>
          <w:rFonts w:ascii="Times New Roman" w:eastAsiaTheme="minorHAnsi" w:hAnsi="Times New Roman" w:cs="Times New Roman"/>
          <w:color w:val="000000" w:themeColor="text1"/>
          <w:sz w:val="24"/>
          <w:szCs w:val="24"/>
          <w:lang w:val="es-ES" w:eastAsia="en-US"/>
        </w:rPr>
        <w:t xml:space="preserve"> y </w:t>
      </w:r>
      <w:proofErr w:type="spellStart"/>
      <w:r w:rsidRPr="008165B3">
        <w:rPr>
          <w:rFonts w:ascii="Times New Roman" w:eastAsiaTheme="minorHAnsi" w:hAnsi="Times New Roman" w:cs="Times New Roman"/>
          <w:color w:val="000000" w:themeColor="text1"/>
          <w:sz w:val="24"/>
          <w:szCs w:val="24"/>
          <w:lang w:val="es-ES" w:eastAsia="en-US"/>
        </w:rPr>
        <w:t>Mahmoud</w:t>
      </w:r>
      <w:proofErr w:type="spellEnd"/>
      <w:r w:rsidRPr="008165B3">
        <w:rPr>
          <w:rFonts w:ascii="Times New Roman" w:eastAsiaTheme="minorHAnsi" w:hAnsi="Times New Roman" w:cs="Times New Roman"/>
          <w:color w:val="000000" w:themeColor="text1"/>
          <w:sz w:val="24"/>
          <w:szCs w:val="24"/>
          <w:lang w:val="es-ES" w:eastAsia="en-US"/>
        </w:rPr>
        <w:t xml:space="preserve">, </w:t>
      </w:r>
      <w:proofErr w:type="spellStart"/>
      <w:r w:rsidRPr="008165B3">
        <w:rPr>
          <w:rFonts w:ascii="Times New Roman" w:eastAsiaTheme="minorHAnsi" w:hAnsi="Times New Roman" w:cs="Times New Roman"/>
          <w:color w:val="000000" w:themeColor="text1"/>
          <w:sz w:val="24"/>
          <w:szCs w:val="24"/>
          <w:lang w:val="es-ES" w:eastAsia="en-US"/>
        </w:rPr>
        <w:t>Jawad</w:t>
      </w:r>
      <w:proofErr w:type="spellEnd"/>
      <w:r w:rsidRPr="008165B3">
        <w:rPr>
          <w:rFonts w:ascii="Times New Roman" w:eastAsiaTheme="minorHAnsi" w:hAnsi="Times New Roman" w:cs="Times New Roman"/>
          <w:color w:val="000000" w:themeColor="text1"/>
          <w:sz w:val="24"/>
          <w:szCs w:val="24"/>
          <w:lang w:val="es-ES" w:eastAsia="en-US"/>
        </w:rPr>
        <w:t xml:space="preserve"> se ocupa de un término asociado con América Latina que fue introducido en el Medio Oriente luego de lograr amplia circulación en la literatura mundial. Pero a diferencia de los dos autores, </w:t>
      </w:r>
      <w:proofErr w:type="spellStart"/>
      <w:r w:rsidRPr="008165B3">
        <w:rPr>
          <w:rFonts w:ascii="Times New Roman" w:eastAsiaTheme="minorHAnsi" w:hAnsi="Times New Roman" w:cs="Times New Roman"/>
          <w:color w:val="000000" w:themeColor="text1"/>
          <w:sz w:val="24"/>
          <w:szCs w:val="24"/>
          <w:lang w:val="es-ES" w:eastAsia="en-US"/>
        </w:rPr>
        <w:t>Jawad</w:t>
      </w:r>
      <w:proofErr w:type="spellEnd"/>
      <w:r w:rsidRPr="008165B3">
        <w:rPr>
          <w:rFonts w:ascii="Times New Roman" w:eastAsiaTheme="minorHAnsi" w:hAnsi="Times New Roman" w:cs="Times New Roman"/>
          <w:color w:val="000000" w:themeColor="text1"/>
          <w:sz w:val="24"/>
          <w:szCs w:val="24"/>
          <w:lang w:val="es-ES" w:eastAsia="en-US"/>
        </w:rPr>
        <w:t xml:space="preserve"> trata el concepto con precaución.</w:t>
      </w:r>
    </w:p>
    <w:p w:rsidR="000744A3" w:rsidRPr="008165B3" w:rsidRDefault="008C03DF" w:rsidP="008C03DF">
      <w:pPr>
        <w:pStyle w:val="Ttulo"/>
        <w:spacing w:line="360" w:lineRule="auto"/>
        <w:rPr>
          <w:rFonts w:ascii="Times New Roman" w:eastAsiaTheme="minorHAnsi" w:hAnsi="Times New Roman" w:cs="Times New Roman"/>
          <w:color w:val="000000" w:themeColor="text1"/>
          <w:sz w:val="24"/>
          <w:szCs w:val="24"/>
          <w:lang w:val="es-ES" w:eastAsia="en-US"/>
        </w:rPr>
      </w:pPr>
      <w:r w:rsidRPr="008165B3">
        <w:rPr>
          <w:rFonts w:ascii="Times New Roman" w:eastAsiaTheme="minorHAnsi" w:hAnsi="Times New Roman" w:cs="Times New Roman"/>
          <w:color w:val="000000" w:themeColor="text1"/>
          <w:sz w:val="24"/>
          <w:szCs w:val="24"/>
          <w:lang w:val="es-ES" w:eastAsia="en-US"/>
        </w:rPr>
        <w:tab/>
        <w:t>Vallejo en árabe, realismo mágico en kurdo o el Teatro de los Oprimidos en Palestina son todos temas mediados por los custodios editoriales y las decisiones de traducción que se dan en el norte europeo y americano. Tales triangulaciones hablan de las relaciones de poder y de las redes de los mercados globales que las cuales determinan todo, desde dónde exportar los bienes locales</w:t>
      </w:r>
      <w:r w:rsidR="000F34BA" w:rsidRPr="008165B3">
        <w:rPr>
          <w:rFonts w:ascii="Times New Roman" w:eastAsiaTheme="minorHAnsi" w:hAnsi="Times New Roman" w:cs="Times New Roman"/>
          <w:color w:val="000000" w:themeColor="text1"/>
          <w:sz w:val="24"/>
          <w:szCs w:val="24"/>
          <w:lang w:val="es-ES" w:eastAsia="en-US"/>
        </w:rPr>
        <w:t xml:space="preserve"> </w:t>
      </w:r>
      <w:r w:rsidRPr="008165B3">
        <w:rPr>
          <w:rFonts w:ascii="Times New Roman" w:eastAsiaTheme="minorHAnsi" w:hAnsi="Times New Roman" w:cs="Times New Roman"/>
          <w:color w:val="000000" w:themeColor="text1"/>
          <w:sz w:val="24"/>
          <w:szCs w:val="24"/>
          <w:lang w:val="es-ES" w:eastAsia="en-US"/>
        </w:rPr>
        <w:t>a cuáles idiomas estudiar como segunda lengua. ¿Qué hacer? ¿Son posibles hoy las interacciones Sur-Sur, y más específicamente las América Latina-Medio Oriente? ¿Están condenadas al fracaso las colabora</w:t>
      </w:r>
      <w:r w:rsidR="00E60B73">
        <w:rPr>
          <w:rFonts w:ascii="Times New Roman" w:eastAsiaTheme="minorHAnsi" w:hAnsi="Times New Roman" w:cs="Times New Roman"/>
          <w:color w:val="000000" w:themeColor="text1"/>
          <w:sz w:val="24"/>
          <w:szCs w:val="24"/>
          <w:lang w:val="es-ES" w:eastAsia="en-US"/>
        </w:rPr>
        <w:t xml:space="preserve">ciones entre América Latina y el </w:t>
      </w:r>
      <w:r w:rsidRPr="008165B3">
        <w:rPr>
          <w:rFonts w:ascii="Times New Roman" w:eastAsiaTheme="minorHAnsi" w:hAnsi="Times New Roman" w:cs="Times New Roman"/>
          <w:color w:val="000000" w:themeColor="text1"/>
          <w:sz w:val="24"/>
          <w:szCs w:val="24"/>
          <w:lang w:val="es-ES" w:eastAsia="en-US"/>
        </w:rPr>
        <w:t>Medio Oriente, o cualquier otra colaboración Sur-Sur debido a las barreras del lenguaje?</w:t>
      </w:r>
    </w:p>
    <w:p w:rsidR="000B6B2D" w:rsidRPr="008165B3" w:rsidRDefault="000744A3" w:rsidP="008C03DF">
      <w:pPr>
        <w:pStyle w:val="Ttulo"/>
        <w:spacing w:line="360" w:lineRule="auto"/>
        <w:rPr>
          <w:rFonts w:ascii="Times New Roman" w:eastAsiaTheme="minorHAnsi" w:hAnsi="Times New Roman" w:cs="Times New Roman"/>
          <w:color w:val="000000" w:themeColor="text1"/>
          <w:sz w:val="24"/>
          <w:szCs w:val="24"/>
          <w:lang w:val="es-ES" w:eastAsia="en-US"/>
        </w:rPr>
      </w:pPr>
      <w:r w:rsidRPr="008165B3">
        <w:rPr>
          <w:rFonts w:ascii="Times New Roman" w:eastAsiaTheme="minorHAnsi" w:hAnsi="Times New Roman" w:cs="Times New Roman"/>
          <w:color w:val="000000" w:themeColor="text1"/>
          <w:sz w:val="24"/>
          <w:szCs w:val="24"/>
          <w:lang w:val="es-ES" w:eastAsia="en-US"/>
        </w:rPr>
        <w:lastRenderedPageBreak/>
        <w:tab/>
      </w:r>
      <w:proofErr w:type="spellStart"/>
      <w:r w:rsidRPr="008165B3">
        <w:rPr>
          <w:rFonts w:ascii="Times New Roman" w:eastAsiaTheme="minorHAnsi" w:hAnsi="Times New Roman" w:cs="Times New Roman"/>
          <w:color w:val="000000" w:themeColor="text1"/>
          <w:sz w:val="24"/>
          <w:szCs w:val="24"/>
          <w:lang w:val="es-ES" w:eastAsia="en-US"/>
        </w:rPr>
        <w:t>Roosbelinda</w:t>
      </w:r>
      <w:proofErr w:type="spellEnd"/>
      <w:r w:rsidRPr="008165B3">
        <w:rPr>
          <w:rFonts w:ascii="Times New Roman" w:eastAsiaTheme="minorHAnsi" w:hAnsi="Times New Roman" w:cs="Times New Roman"/>
          <w:color w:val="000000" w:themeColor="text1"/>
          <w:sz w:val="24"/>
          <w:szCs w:val="24"/>
          <w:lang w:val="es-ES" w:eastAsia="en-US"/>
        </w:rPr>
        <w:t xml:space="preserve"> </w:t>
      </w:r>
      <w:proofErr w:type="spellStart"/>
      <w:r w:rsidRPr="008165B3">
        <w:rPr>
          <w:rFonts w:ascii="Times New Roman" w:eastAsiaTheme="minorHAnsi" w:hAnsi="Times New Roman" w:cs="Times New Roman"/>
          <w:color w:val="000000" w:themeColor="text1"/>
          <w:sz w:val="24"/>
          <w:szCs w:val="24"/>
          <w:lang w:val="es-ES" w:eastAsia="en-US"/>
        </w:rPr>
        <w:t>Cardenas</w:t>
      </w:r>
      <w:proofErr w:type="spellEnd"/>
      <w:r w:rsidRPr="008165B3">
        <w:rPr>
          <w:rFonts w:ascii="Times New Roman" w:eastAsiaTheme="minorHAnsi" w:hAnsi="Times New Roman" w:cs="Times New Roman"/>
          <w:color w:val="000000" w:themeColor="text1"/>
          <w:sz w:val="24"/>
          <w:szCs w:val="24"/>
          <w:lang w:val="es-ES" w:eastAsia="en-US"/>
        </w:rPr>
        <w:t xml:space="preserve"> y </w:t>
      </w:r>
      <w:proofErr w:type="spellStart"/>
      <w:r w:rsidRPr="008165B3">
        <w:rPr>
          <w:rFonts w:ascii="Times New Roman" w:eastAsiaTheme="minorHAnsi" w:hAnsi="Times New Roman" w:cs="Times New Roman"/>
          <w:color w:val="000000" w:themeColor="text1"/>
          <w:sz w:val="24"/>
          <w:szCs w:val="24"/>
          <w:lang w:val="es-ES" w:eastAsia="en-US"/>
        </w:rPr>
        <w:t>Hiba</w:t>
      </w:r>
      <w:proofErr w:type="spellEnd"/>
      <w:r w:rsidRPr="008165B3">
        <w:rPr>
          <w:rFonts w:ascii="Times New Roman" w:eastAsiaTheme="minorHAnsi" w:hAnsi="Times New Roman" w:cs="Times New Roman"/>
          <w:color w:val="000000" w:themeColor="text1"/>
          <w:sz w:val="24"/>
          <w:szCs w:val="24"/>
          <w:lang w:val="es-ES" w:eastAsia="en-US"/>
        </w:rPr>
        <w:t xml:space="preserve"> Bou </w:t>
      </w:r>
      <w:proofErr w:type="spellStart"/>
      <w:r w:rsidRPr="008165B3">
        <w:rPr>
          <w:rFonts w:ascii="Times New Roman" w:eastAsiaTheme="minorHAnsi" w:hAnsi="Times New Roman" w:cs="Times New Roman"/>
          <w:color w:val="000000" w:themeColor="text1"/>
          <w:sz w:val="24"/>
          <w:szCs w:val="24"/>
          <w:lang w:val="es-ES" w:eastAsia="en-US"/>
        </w:rPr>
        <w:t>Akar</w:t>
      </w:r>
      <w:proofErr w:type="spellEnd"/>
      <w:r w:rsidRPr="008165B3">
        <w:rPr>
          <w:rFonts w:ascii="Times New Roman" w:eastAsiaTheme="minorHAnsi" w:hAnsi="Times New Roman" w:cs="Times New Roman"/>
          <w:color w:val="000000" w:themeColor="text1"/>
          <w:sz w:val="24"/>
          <w:szCs w:val="24"/>
          <w:lang w:val="es-ES" w:eastAsia="en-US"/>
        </w:rPr>
        <w:t xml:space="preserve"> ofrecen una solución provisional en su artículo, “</w:t>
      </w:r>
      <w:hyperlink r:id="rId7" w:history="1">
        <w:r w:rsidRPr="008165B3">
          <w:rPr>
            <w:rStyle w:val="Hipervnculo"/>
            <w:rFonts w:ascii="Times New Roman" w:eastAsiaTheme="minorHAnsi" w:hAnsi="Times New Roman" w:cs="Times New Roman"/>
            <w:sz w:val="24"/>
            <w:szCs w:val="24"/>
            <w:lang w:val="es-ES" w:eastAsia="en-US"/>
          </w:rPr>
          <w:t>Escribiendo Sobre la Violencia: Una Reflexión Conjunta desde América Latina y el Medio Oriente</w:t>
        </w:r>
      </w:hyperlink>
      <w:r w:rsidRPr="008165B3">
        <w:rPr>
          <w:rFonts w:ascii="Times New Roman" w:eastAsiaTheme="minorHAnsi" w:hAnsi="Times New Roman" w:cs="Times New Roman"/>
          <w:color w:val="000000" w:themeColor="text1"/>
          <w:sz w:val="24"/>
          <w:szCs w:val="24"/>
          <w:lang w:val="es-ES" w:eastAsia="en-US"/>
        </w:rPr>
        <w:t>”.</w:t>
      </w:r>
      <w:r w:rsidR="000F34BA" w:rsidRPr="008165B3">
        <w:rPr>
          <w:rFonts w:ascii="Times New Roman" w:eastAsiaTheme="minorHAnsi" w:hAnsi="Times New Roman" w:cs="Times New Roman"/>
          <w:color w:val="000000" w:themeColor="text1"/>
          <w:sz w:val="24"/>
          <w:szCs w:val="24"/>
          <w:lang w:val="es-ES" w:eastAsia="en-US"/>
        </w:rPr>
        <w:t xml:space="preserve"> </w:t>
      </w:r>
      <w:r w:rsidRPr="008165B3">
        <w:rPr>
          <w:rFonts w:ascii="Times New Roman" w:eastAsiaTheme="minorHAnsi" w:hAnsi="Times New Roman" w:cs="Times New Roman"/>
          <w:color w:val="000000" w:themeColor="text1"/>
          <w:sz w:val="24"/>
          <w:szCs w:val="24"/>
          <w:lang w:val="es-ES" w:eastAsia="en-US"/>
        </w:rPr>
        <w:t>El cual nos brinda perspectivas sobre un prometedor modelo de enseñanza y escritura colaborativa que puede ayudarnos a atravesar las mencionadas barreras lingüísticas. Disfruté leyendo sobre</w:t>
      </w:r>
      <w:r w:rsidR="00E60B73">
        <w:rPr>
          <w:rFonts w:ascii="Times New Roman" w:eastAsiaTheme="minorHAnsi" w:hAnsi="Times New Roman" w:cs="Times New Roman"/>
          <w:color w:val="000000" w:themeColor="text1"/>
          <w:sz w:val="24"/>
          <w:szCs w:val="24"/>
          <w:lang w:val="es-ES" w:eastAsia="en-US"/>
        </w:rPr>
        <w:t xml:space="preserve"> sus experiencias pensando en</w:t>
      </w:r>
      <w:r w:rsidRPr="008165B3">
        <w:rPr>
          <w:rFonts w:ascii="Times New Roman" w:eastAsiaTheme="minorHAnsi" w:hAnsi="Times New Roman" w:cs="Times New Roman"/>
          <w:color w:val="000000" w:themeColor="text1"/>
          <w:sz w:val="24"/>
          <w:szCs w:val="24"/>
          <w:lang w:val="es-ES" w:eastAsia="en-US"/>
        </w:rPr>
        <w:t xml:space="preserve"> ciertas cuestiones tales como “el grafiti político y el arte callejero en el Cairo o Bogotá, el papel del estado en las favelas de Brasil y en los campos de refugiados en Cisjordania, la guerra a las drogas y en Afganistán, las tácticas de los movimientos de resistencia de mujeres zapatistas y kurdas y las influencias de la diáspora en la música popular de ambas regiones”, en sus clases.</w:t>
      </w:r>
      <w:r w:rsidR="00E6200E" w:rsidRPr="008165B3">
        <w:rPr>
          <w:rFonts w:ascii="Times New Roman" w:eastAsiaTheme="minorHAnsi" w:hAnsi="Times New Roman" w:cs="Times New Roman"/>
          <w:color w:val="000000" w:themeColor="text1"/>
          <w:sz w:val="24"/>
          <w:szCs w:val="24"/>
          <w:lang w:val="es-ES" w:eastAsia="en-US"/>
        </w:rPr>
        <w:t xml:space="preserve"> Sin embargo, las partes del artículo que se ocupan de sus respectivos proyectos de investigación de inmediato transitan del “nosotros” al “yo”. Lo cual </w:t>
      </w:r>
      <w:r w:rsidR="00E60B73">
        <w:rPr>
          <w:rFonts w:ascii="Times New Roman" w:eastAsiaTheme="minorHAnsi" w:hAnsi="Times New Roman" w:cs="Times New Roman"/>
          <w:color w:val="000000" w:themeColor="text1"/>
          <w:sz w:val="24"/>
          <w:szCs w:val="24"/>
          <w:lang w:val="es-ES" w:eastAsia="en-US"/>
        </w:rPr>
        <w:t>me hecho pensar</w:t>
      </w:r>
      <w:r w:rsidR="00E6200E" w:rsidRPr="008165B3">
        <w:rPr>
          <w:rFonts w:ascii="Times New Roman" w:eastAsiaTheme="minorHAnsi" w:hAnsi="Times New Roman" w:cs="Times New Roman"/>
          <w:color w:val="000000" w:themeColor="text1"/>
          <w:sz w:val="24"/>
          <w:szCs w:val="24"/>
          <w:lang w:val="es-ES" w:eastAsia="en-US"/>
        </w:rPr>
        <w:t xml:space="preserve"> ¿de qué manera la investigación sobre Personas Internamente Desplazadas en Colombia ayuda a entender el contexto de la postguerra civil en el Líbano? ¿Cómo puede la investigación en la disputada geografía y el sectarismo en el Líbano ayudar a profundizar sobre la guerra civil en Colombia? Etc. Un compromiso más directo con las divergencias y convergencias de estos dos casos de estudio sobre la violencia puede, creo, producir trabajos creativos teóricamente.</w:t>
      </w:r>
    </w:p>
    <w:p w:rsidR="000F34BA" w:rsidRPr="008165B3" w:rsidRDefault="000B6B2D" w:rsidP="008C03DF">
      <w:pPr>
        <w:pStyle w:val="Ttulo"/>
        <w:spacing w:line="360" w:lineRule="auto"/>
        <w:rPr>
          <w:rFonts w:ascii="Times New Roman" w:eastAsiaTheme="minorHAnsi" w:hAnsi="Times New Roman" w:cs="Times New Roman"/>
          <w:color w:val="000000" w:themeColor="text1"/>
          <w:sz w:val="24"/>
          <w:szCs w:val="24"/>
          <w:lang w:val="es-ES" w:eastAsia="en-US"/>
        </w:rPr>
      </w:pPr>
      <w:r w:rsidRPr="008165B3">
        <w:rPr>
          <w:rFonts w:ascii="Times New Roman" w:eastAsiaTheme="minorHAnsi" w:hAnsi="Times New Roman" w:cs="Times New Roman"/>
          <w:color w:val="000000" w:themeColor="text1"/>
          <w:sz w:val="24"/>
          <w:szCs w:val="24"/>
          <w:lang w:val="es-ES" w:eastAsia="en-US"/>
        </w:rPr>
        <w:tab/>
        <w:t xml:space="preserve">Cárdenas y Bou </w:t>
      </w:r>
      <w:proofErr w:type="spellStart"/>
      <w:r w:rsidRPr="008165B3">
        <w:rPr>
          <w:rFonts w:ascii="Times New Roman" w:eastAsiaTheme="minorHAnsi" w:hAnsi="Times New Roman" w:cs="Times New Roman"/>
          <w:color w:val="000000" w:themeColor="text1"/>
          <w:sz w:val="24"/>
          <w:szCs w:val="24"/>
          <w:lang w:val="es-ES" w:eastAsia="en-US"/>
        </w:rPr>
        <w:t>Akar</w:t>
      </w:r>
      <w:proofErr w:type="spellEnd"/>
      <w:r w:rsidRPr="008165B3">
        <w:rPr>
          <w:rFonts w:ascii="Times New Roman" w:eastAsiaTheme="minorHAnsi" w:hAnsi="Times New Roman" w:cs="Times New Roman"/>
          <w:color w:val="000000" w:themeColor="text1"/>
          <w:sz w:val="24"/>
          <w:szCs w:val="24"/>
          <w:lang w:val="es-ES" w:eastAsia="en-US"/>
        </w:rPr>
        <w:t xml:space="preserve"> colaboran y escriben en inglés en el mundo académico del norte. Y los dos términos “Medio Oriente” y “América Latina” son constructos del norte. De ahí la persistencia de mi pregunta, ¿puede persistir una colaboración directa Sur-Sur sin la triangulación con el norte? ¿Cuáles son las implicaciones, liberadoras o no, de pensar sobre América Latina</w:t>
      </w:r>
      <w:r w:rsidR="00E6200E" w:rsidRPr="008165B3">
        <w:rPr>
          <w:rFonts w:ascii="Times New Roman" w:eastAsiaTheme="minorHAnsi" w:hAnsi="Times New Roman" w:cs="Times New Roman"/>
          <w:color w:val="000000" w:themeColor="text1"/>
          <w:sz w:val="24"/>
          <w:szCs w:val="24"/>
          <w:lang w:val="es-ES" w:eastAsia="en-US"/>
        </w:rPr>
        <w:t xml:space="preserve"> </w:t>
      </w:r>
      <w:r w:rsidRPr="008165B3">
        <w:rPr>
          <w:rFonts w:ascii="Times New Roman" w:eastAsiaTheme="minorHAnsi" w:hAnsi="Times New Roman" w:cs="Times New Roman"/>
          <w:color w:val="000000" w:themeColor="text1"/>
          <w:sz w:val="24"/>
          <w:szCs w:val="24"/>
          <w:lang w:val="es-ES" w:eastAsia="en-US"/>
        </w:rPr>
        <w:t>comparativamente desd</w:t>
      </w:r>
      <w:r w:rsidR="00E60B73">
        <w:rPr>
          <w:rFonts w:ascii="Times New Roman" w:eastAsiaTheme="minorHAnsi" w:hAnsi="Times New Roman" w:cs="Times New Roman"/>
          <w:color w:val="000000" w:themeColor="text1"/>
          <w:sz w:val="24"/>
          <w:szCs w:val="24"/>
          <w:lang w:val="es-ES" w:eastAsia="en-US"/>
        </w:rPr>
        <w:t>e el norte? Y ¿Podemos pensar</w:t>
      </w:r>
      <w:bookmarkStart w:id="1" w:name="_GoBack"/>
      <w:bookmarkEnd w:id="1"/>
      <w:r w:rsidRPr="008165B3">
        <w:rPr>
          <w:rFonts w:ascii="Times New Roman" w:eastAsiaTheme="minorHAnsi" w:hAnsi="Times New Roman" w:cs="Times New Roman"/>
          <w:color w:val="000000" w:themeColor="text1"/>
          <w:sz w:val="24"/>
          <w:szCs w:val="24"/>
          <w:lang w:val="es-ES" w:eastAsia="en-US"/>
        </w:rPr>
        <w:t xml:space="preserve"> otras maneras de estudiar comparativamente las dos regiones más allá de los confines y limitaciones de las redes?</w:t>
      </w:r>
      <w:r w:rsidR="00E6200E" w:rsidRPr="008165B3">
        <w:rPr>
          <w:rFonts w:ascii="Times New Roman" w:eastAsiaTheme="minorHAnsi" w:hAnsi="Times New Roman" w:cs="Times New Roman"/>
          <w:color w:val="000000" w:themeColor="text1"/>
          <w:sz w:val="24"/>
          <w:szCs w:val="24"/>
          <w:lang w:val="es-ES" w:eastAsia="en-US"/>
        </w:rPr>
        <w:t xml:space="preserve"> </w:t>
      </w:r>
      <w:r w:rsidR="000744A3" w:rsidRPr="008165B3">
        <w:rPr>
          <w:rFonts w:ascii="Times New Roman" w:eastAsiaTheme="minorHAnsi" w:hAnsi="Times New Roman" w:cs="Times New Roman"/>
          <w:color w:val="000000" w:themeColor="text1"/>
          <w:sz w:val="24"/>
          <w:szCs w:val="24"/>
          <w:lang w:val="es-ES" w:eastAsia="en-US"/>
        </w:rPr>
        <w:t xml:space="preserve"> </w:t>
      </w:r>
    </w:p>
    <w:p w:rsidR="00FC7853" w:rsidRPr="008165B3" w:rsidRDefault="004C50F0" w:rsidP="008C03DF">
      <w:pPr>
        <w:spacing w:after="0" w:line="360" w:lineRule="auto"/>
        <w:rPr>
          <w:rFonts w:ascii="Times New Roman" w:hAnsi="Times New Roman" w:cs="Times New Roman"/>
          <w:color w:val="000000" w:themeColor="text1"/>
          <w:sz w:val="24"/>
          <w:szCs w:val="24"/>
        </w:rPr>
      </w:pPr>
      <w:r w:rsidRPr="008165B3">
        <w:rPr>
          <w:rFonts w:ascii="Times New Roman" w:hAnsi="Times New Roman" w:cs="Times New Roman"/>
          <w:color w:val="000000" w:themeColor="text1"/>
          <w:sz w:val="24"/>
          <w:szCs w:val="24"/>
        </w:rPr>
        <w:t xml:space="preserve"> </w:t>
      </w:r>
      <w:r w:rsidR="00FC7853" w:rsidRPr="008165B3">
        <w:rPr>
          <w:rFonts w:ascii="Times New Roman" w:hAnsi="Times New Roman" w:cs="Times New Roman"/>
          <w:color w:val="000000" w:themeColor="text1"/>
          <w:sz w:val="24"/>
          <w:szCs w:val="24"/>
        </w:rPr>
        <w:t xml:space="preserve">  </w:t>
      </w:r>
    </w:p>
    <w:sectPr w:rsidR="00FC7853" w:rsidRPr="008165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19"/>
    <w:rsid w:val="0004207D"/>
    <w:rsid w:val="000636AC"/>
    <w:rsid w:val="000744A3"/>
    <w:rsid w:val="000B6B2D"/>
    <w:rsid w:val="000F34BA"/>
    <w:rsid w:val="001321EC"/>
    <w:rsid w:val="00217452"/>
    <w:rsid w:val="00257319"/>
    <w:rsid w:val="004C50F0"/>
    <w:rsid w:val="00525CCF"/>
    <w:rsid w:val="008165B3"/>
    <w:rsid w:val="008B45C5"/>
    <w:rsid w:val="008C03DF"/>
    <w:rsid w:val="00906D55"/>
    <w:rsid w:val="00B2449C"/>
    <w:rsid w:val="00E60B73"/>
    <w:rsid w:val="00E6200E"/>
    <w:rsid w:val="00FC7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45C5"/>
    <w:rPr>
      <w:color w:val="0000FF" w:themeColor="hyperlink"/>
      <w:u w:val="single"/>
    </w:rPr>
  </w:style>
  <w:style w:type="paragraph" w:styleId="Ttulo">
    <w:name w:val="Title"/>
    <w:basedOn w:val="Normal"/>
    <w:next w:val="Normal"/>
    <w:link w:val="TtuloCar"/>
    <w:rsid w:val="000F34BA"/>
    <w:pPr>
      <w:keepNext/>
      <w:keepLines/>
      <w:spacing w:after="60"/>
    </w:pPr>
    <w:rPr>
      <w:rFonts w:ascii="Arial" w:eastAsia="Arial" w:hAnsi="Arial" w:cs="Arial"/>
      <w:sz w:val="52"/>
      <w:szCs w:val="52"/>
      <w:lang w:val="en" w:eastAsia="es-ES"/>
    </w:rPr>
  </w:style>
  <w:style w:type="character" w:customStyle="1" w:styleId="TtuloCar">
    <w:name w:val="Título Car"/>
    <w:basedOn w:val="Fuentedeprrafopredeter"/>
    <w:link w:val="Ttulo"/>
    <w:rsid w:val="000F34BA"/>
    <w:rPr>
      <w:rFonts w:ascii="Arial" w:eastAsia="Arial" w:hAnsi="Arial" w:cs="Arial"/>
      <w:sz w:val="52"/>
      <w:szCs w:val="52"/>
      <w:lang w:val="en"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45C5"/>
    <w:rPr>
      <w:color w:val="0000FF" w:themeColor="hyperlink"/>
      <w:u w:val="single"/>
    </w:rPr>
  </w:style>
  <w:style w:type="paragraph" w:styleId="Ttulo">
    <w:name w:val="Title"/>
    <w:basedOn w:val="Normal"/>
    <w:next w:val="Normal"/>
    <w:link w:val="TtuloCar"/>
    <w:rsid w:val="000F34BA"/>
    <w:pPr>
      <w:keepNext/>
      <w:keepLines/>
      <w:spacing w:after="60"/>
    </w:pPr>
    <w:rPr>
      <w:rFonts w:ascii="Arial" w:eastAsia="Arial" w:hAnsi="Arial" w:cs="Arial"/>
      <w:sz w:val="52"/>
      <w:szCs w:val="52"/>
      <w:lang w:val="en" w:eastAsia="es-ES"/>
    </w:rPr>
  </w:style>
  <w:style w:type="character" w:customStyle="1" w:styleId="TtuloCar">
    <w:name w:val="Título Car"/>
    <w:basedOn w:val="Fuentedeprrafopredeter"/>
    <w:link w:val="Ttulo"/>
    <w:rsid w:val="000F34BA"/>
    <w:rPr>
      <w:rFonts w:ascii="Arial" w:eastAsia="Arial" w:hAnsi="Arial" w:cs="Arial"/>
      <w:sz w:val="52"/>
      <w:szCs w:val="52"/>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ip.org/2018/04/writing-about-viol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andfonline.com/doi/full/10.1080/10714839.2018.1448597" TargetMode="External"/><Relationship Id="rId5" Type="http://schemas.openxmlformats.org/officeDocument/2006/relationships/hyperlink" Target="https://www.tandfonline.com/doi/full/10.1080/10714839.2018.14485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1170</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2019-03-24T15:44:00Z</dcterms:created>
  <dcterms:modified xsi:type="dcterms:W3CDTF">2019-04-01T11:22:00Z</dcterms:modified>
</cp:coreProperties>
</file>